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E960BB" w:rsidR="006E5D65" w:rsidP="002D3375" w:rsidRDefault="00997F14" w14:paraId="4891D569" wp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6E3D9C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6E3D9C">
        <w:rPr>
          <w:rFonts w:ascii="Corbel" w:hAnsi="Corbel"/>
          <w:bCs/>
          <w:i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29D24FA6" w:rsidRDefault="0071620A" w14:paraId="05E5463D" wp14:textId="100B6CC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29D24FA6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29D24FA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29D24FA6" w:rsidR="00C479BA">
        <w:rPr>
          <w:rFonts w:ascii="Corbel" w:hAnsi="Corbel"/>
          <w:smallCaps w:val="1"/>
          <w:sz w:val="24"/>
          <w:szCs w:val="24"/>
        </w:rPr>
        <w:t>20</w:t>
      </w:r>
      <w:r w:rsidRPr="29D24FA6" w:rsidR="00C94889">
        <w:rPr>
          <w:rFonts w:ascii="Corbel" w:hAnsi="Corbel"/>
          <w:smallCaps w:val="1"/>
          <w:sz w:val="24"/>
          <w:szCs w:val="24"/>
        </w:rPr>
        <w:t>2</w:t>
      </w:r>
      <w:r w:rsidRPr="29D24FA6" w:rsidR="4E502F1D">
        <w:rPr>
          <w:rFonts w:ascii="Corbel" w:hAnsi="Corbel"/>
          <w:smallCaps w:val="1"/>
          <w:sz w:val="24"/>
          <w:szCs w:val="24"/>
        </w:rPr>
        <w:t>4</w:t>
      </w:r>
      <w:r w:rsidRPr="29D24FA6" w:rsidR="00C479BA">
        <w:rPr>
          <w:rFonts w:ascii="Corbel" w:hAnsi="Corbel"/>
          <w:smallCaps w:val="1"/>
          <w:sz w:val="24"/>
          <w:szCs w:val="24"/>
        </w:rPr>
        <w:t>-202</w:t>
      </w:r>
      <w:r w:rsidRPr="29D24FA6" w:rsidR="3E27C403">
        <w:rPr>
          <w:rFonts w:ascii="Corbel" w:hAnsi="Corbel"/>
          <w:smallCaps w:val="1"/>
          <w:sz w:val="24"/>
          <w:szCs w:val="24"/>
        </w:rPr>
        <w:t>7</w:t>
      </w:r>
      <w:r w:rsidRPr="29D24FA6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</w:p>
    <w:p xmlns:wp14="http://schemas.microsoft.com/office/word/2010/wordml" w:rsidR="0085747A" w:rsidP="00EA4832" w:rsidRDefault="00EA4832" w14:paraId="24E8696B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930631" w:rsidR="00445970" w:rsidP="29D24FA6" w:rsidRDefault="00930631" w14:paraId="3364B80E" wp14:textId="2076816E">
      <w:pPr>
        <w:spacing w:after="0" w:line="240" w:lineRule="exact"/>
        <w:jc w:val="both"/>
        <w:rPr>
          <w:rFonts w:ascii="Corbel" w:hAnsi="Corbel"/>
          <w:b w:val="1"/>
          <w:bCs w:val="1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41B64">
        <w:rPr>
          <w:rFonts w:ascii="Corbel" w:hAnsi="Corbel"/>
          <w:sz w:val="20"/>
          <w:szCs w:val="20"/>
        </w:rPr>
        <w:tab/>
      </w:r>
      <w:r w:rsidRPr="29D24FA6" w:rsidR="00930631">
        <w:rPr>
          <w:rFonts w:ascii="Corbel" w:hAnsi="Corbel"/>
          <w:b w:val="1"/>
          <w:bCs w:val="1"/>
          <w:sz w:val="20"/>
          <w:szCs w:val="20"/>
        </w:rPr>
        <w:t xml:space="preserve">Rok akademicki </w:t>
      </w:r>
      <w:r w:rsidRPr="29D24FA6" w:rsidR="00C479BA">
        <w:rPr>
          <w:rFonts w:ascii="Corbel" w:hAnsi="Corbel"/>
          <w:b w:val="1"/>
          <w:bCs w:val="1"/>
          <w:sz w:val="20"/>
          <w:szCs w:val="20"/>
        </w:rPr>
        <w:t>202</w:t>
      </w:r>
      <w:r w:rsidRPr="29D24FA6" w:rsidR="639686EF">
        <w:rPr>
          <w:rFonts w:ascii="Corbel" w:hAnsi="Corbel"/>
          <w:b w:val="1"/>
          <w:bCs w:val="1"/>
          <w:sz w:val="20"/>
          <w:szCs w:val="20"/>
        </w:rPr>
        <w:t>4</w:t>
      </w:r>
      <w:r w:rsidRPr="29D24FA6" w:rsidR="00C479BA">
        <w:rPr>
          <w:rFonts w:ascii="Corbel" w:hAnsi="Corbel"/>
          <w:b w:val="1"/>
          <w:bCs w:val="1"/>
          <w:sz w:val="20"/>
          <w:szCs w:val="20"/>
        </w:rPr>
        <w:t>/202</w:t>
      </w:r>
      <w:r w:rsidRPr="29D24FA6" w:rsidR="4702567A">
        <w:rPr>
          <w:rFonts w:ascii="Corbel" w:hAnsi="Corbel"/>
          <w:b w:val="1"/>
          <w:bCs w:val="1"/>
          <w:sz w:val="20"/>
          <w:szCs w:val="20"/>
        </w:rPr>
        <w:t>5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520"/>
      </w:tblGrid>
      <w:tr xmlns:wp14="http://schemas.microsoft.com/office/word/2010/wordml" w:rsidRPr="009C54AE" w:rsidR="0085747A" w:rsidTr="69C3DB01" w14:paraId="43B55953" wp14:textId="77777777">
        <w:tc>
          <w:tcPr>
            <w:tcW w:w="3261" w:type="dxa"/>
            <w:tcMar/>
            <w:vAlign w:val="center"/>
          </w:tcPr>
          <w:p w:rsidRPr="009C54AE" w:rsidR="0085747A" w:rsidP="009C54AE" w:rsidRDefault="00C05F44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520" w:type="dxa"/>
            <w:tcMar/>
            <w:vAlign w:val="center"/>
          </w:tcPr>
          <w:p w:rsidRPr="00930631" w:rsidR="0085747A" w:rsidP="00C479BA" w:rsidRDefault="00C479BA" w14:paraId="612C9747" wp14:textId="77777777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30631">
              <w:rPr>
                <w:rFonts w:ascii="Corbel" w:hAnsi="Corbel"/>
                <w:b/>
                <w:sz w:val="24"/>
                <w:szCs w:val="24"/>
                <w:lang w:val="es-PE"/>
              </w:rPr>
              <w:t>A</w:t>
            </w:r>
            <w:proofErr w:type="spellStart"/>
            <w:r w:rsidRPr="00930631">
              <w:rPr>
                <w:rFonts w:ascii="Corbel" w:hAnsi="Corbel"/>
                <w:b/>
                <w:sz w:val="24"/>
                <w:szCs w:val="24"/>
              </w:rPr>
              <w:t>ntropologia</w:t>
            </w:r>
            <w:proofErr w:type="spellEnd"/>
            <w:r w:rsidRPr="00930631">
              <w:rPr>
                <w:rFonts w:ascii="Corbel" w:hAnsi="Corbel"/>
                <w:b/>
                <w:sz w:val="24"/>
                <w:szCs w:val="24"/>
              </w:rPr>
              <w:t xml:space="preserve"> kulturowa</w:t>
            </w:r>
          </w:p>
        </w:tc>
      </w:tr>
      <w:tr xmlns:wp14="http://schemas.microsoft.com/office/word/2010/wordml" w:rsidRPr="009C54AE" w:rsidR="0085747A" w:rsidTr="69C3DB01" w14:paraId="1928F6BB" wp14:textId="77777777">
        <w:tc>
          <w:tcPr>
            <w:tcW w:w="3261" w:type="dxa"/>
            <w:tcMar/>
            <w:vAlign w:val="center"/>
          </w:tcPr>
          <w:p w:rsidRPr="009C54AE" w:rsidR="0085747A" w:rsidP="009C54AE" w:rsidRDefault="00C05F44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7D118C9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188">
              <w:rPr>
                <w:rFonts w:ascii="Corbel" w:hAnsi="Corbel"/>
                <w:b w:val="0"/>
                <w:sz w:val="24"/>
                <w:szCs w:val="24"/>
              </w:rPr>
              <w:t>S1S[1]O_04</w:t>
            </w:r>
          </w:p>
        </w:tc>
      </w:tr>
      <w:tr xmlns:wp14="http://schemas.microsoft.com/office/word/2010/wordml" w:rsidRPr="009C54AE" w:rsidR="0085747A" w:rsidTr="69C3DB01" w14:paraId="5C0172EC" wp14:textId="77777777">
        <w:tc>
          <w:tcPr>
            <w:tcW w:w="3261" w:type="dxa"/>
            <w:tcMar/>
            <w:vAlign w:val="center"/>
          </w:tcPr>
          <w:p w:rsidRPr="009C54AE" w:rsidR="0085747A" w:rsidP="00EA4832" w:rsidRDefault="0085747A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85747A" w:rsidTr="69C3DB01" w14:paraId="53839DC8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23141D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141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85747A" w:rsidTr="69C3DB01" w14:paraId="75EBF523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1FDDED3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xmlns:wp14="http://schemas.microsoft.com/office/word/2010/wordml" w:rsidRPr="009C54AE" w:rsidR="0085747A" w:rsidTr="69C3DB01" w14:paraId="2334054F" wp14:textId="77777777">
        <w:tc>
          <w:tcPr>
            <w:tcW w:w="3261" w:type="dxa"/>
            <w:tcMar/>
            <w:vAlign w:val="center"/>
          </w:tcPr>
          <w:p w:rsidRPr="009C54AE" w:rsidR="0085747A" w:rsidP="009C54AE" w:rsidRDefault="00DE4A14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520" w:type="dxa"/>
            <w:tcMar/>
            <w:vAlign w:val="center"/>
          </w:tcPr>
          <w:p w:rsidRPr="00930631" w:rsidR="0085747A" w:rsidP="009C54AE" w:rsidRDefault="00C479BA" w14:paraId="43B687E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30631">
              <w:rPr>
                <w:rFonts w:ascii="Corbel" w:hAnsi="Corbel"/>
                <w:sz w:val="24"/>
                <w:szCs w:val="24"/>
              </w:rPr>
              <w:t>I stopie</w:t>
            </w:r>
            <w:r w:rsidRPr="00930631">
              <w:rPr>
                <w:rFonts w:ascii="Corbel" w:hAnsi="Corbel" w:cs="Arial"/>
                <w:sz w:val="24"/>
                <w:szCs w:val="24"/>
              </w:rPr>
              <w:t>ń</w:t>
            </w:r>
          </w:p>
        </w:tc>
      </w:tr>
      <w:tr xmlns:wp14="http://schemas.microsoft.com/office/word/2010/wordml" w:rsidRPr="009C54AE" w:rsidR="0085747A" w:rsidTr="69C3DB01" w14:paraId="020B26A7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85747A" w:rsidTr="69C3DB01" w14:paraId="32ACF41F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69C3DB01" w:rsidRDefault="00C479BA" w14:paraId="77F3DBE8" wp14:textId="4E259D27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trike w:val="1"/>
                <w:sz w:val="24"/>
                <w:szCs w:val="24"/>
              </w:rPr>
            </w:pPr>
            <w:r w:rsidRPr="69C3DB01" w:rsidR="00C479B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xmlns:wp14="http://schemas.microsoft.com/office/word/2010/wordml" w:rsidRPr="009C54AE" w:rsidR="0085747A" w:rsidTr="69C3DB01" w14:paraId="4F4E120B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520" w:type="dxa"/>
            <w:tcMar/>
            <w:vAlign w:val="center"/>
          </w:tcPr>
          <w:p w:rsidRPr="00930631" w:rsidR="0085747A" w:rsidP="009C54AE" w:rsidRDefault="00476AA9" w14:paraId="4D31EFE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30631">
              <w:rPr>
                <w:rFonts w:ascii="Corbel" w:hAnsi="Corbel"/>
                <w:sz w:val="24"/>
                <w:szCs w:val="24"/>
              </w:rPr>
              <w:t>Rok 1</w:t>
            </w:r>
            <w:r w:rsidRPr="00930631" w:rsidR="00C479BA">
              <w:rPr>
                <w:rFonts w:ascii="Corbel" w:hAnsi="Corbel"/>
                <w:sz w:val="24"/>
                <w:szCs w:val="24"/>
              </w:rPr>
              <w:t>, semestr I</w:t>
            </w:r>
          </w:p>
        </w:tc>
      </w:tr>
      <w:tr xmlns:wp14="http://schemas.microsoft.com/office/word/2010/wordml" w:rsidRPr="009C54AE" w:rsidR="0085747A" w:rsidTr="69C3DB01" w14:paraId="4D6BEF29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4B6A16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xmlns:wp14="http://schemas.microsoft.com/office/word/2010/wordml" w:rsidRPr="009C54AE" w:rsidR="00923D7D" w:rsidTr="69C3DB01" w14:paraId="2786482B" wp14:textId="77777777">
        <w:tc>
          <w:tcPr>
            <w:tcW w:w="3261" w:type="dxa"/>
            <w:tcMar/>
            <w:vAlign w:val="center"/>
          </w:tcPr>
          <w:p w:rsidRPr="009C54AE" w:rsidR="00923D7D" w:rsidP="009C54AE" w:rsidRDefault="00923D7D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20" w:type="dxa"/>
            <w:tcMar/>
            <w:vAlign w:val="center"/>
          </w:tcPr>
          <w:p w:rsidRPr="009C54AE" w:rsidR="00923D7D" w:rsidP="009C54AE" w:rsidRDefault="00C479BA" w14:paraId="205A1F16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xmlns:wp14="http://schemas.microsoft.com/office/word/2010/wordml" w:rsidRPr="009C54AE" w:rsidR="0085747A" w:rsidTr="69C3DB01" w14:paraId="1DF6C9E0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09A19FA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Kacper Świerk</w:t>
            </w:r>
          </w:p>
        </w:tc>
      </w:tr>
      <w:tr xmlns:wp14="http://schemas.microsoft.com/office/word/2010/wordml" w:rsidRPr="009C54AE" w:rsidR="0085747A" w:rsidTr="69C3DB01" w14:paraId="161D6713" wp14:textId="77777777">
        <w:tc>
          <w:tcPr>
            <w:tcW w:w="3261" w:type="dxa"/>
            <w:tcMar/>
            <w:vAlign w:val="center"/>
          </w:tcPr>
          <w:p w:rsidRPr="009C54AE" w:rsidR="0085747A" w:rsidP="009C54AE" w:rsidRDefault="0085747A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9C54AE" w:rsidRDefault="00C479BA" w14:paraId="5E48686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Kacper Świerk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xmlns:wp14="http://schemas.microsoft.com/office/word/2010/wordml" w:rsidRPr="009C54AE" w:rsidR="00015B8F" w:rsidTr="2A63940D" w14:paraId="4A00F406" wp14:textId="77777777">
        <w:trPr>
          <w:trHeight w:val="43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30631" w:rsidRDefault="00015B8F" w14:paraId="493A0CA5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30631" w:rsidRDefault="002B5EA0" w14:paraId="64C63F3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3860AB2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646F369B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409DDAD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0AB6E05A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0B273B9D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63A8E3D2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69FA399F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5B5B1B43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7474E17E" wp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xmlns:wp14="http://schemas.microsoft.com/office/word/2010/wordml" w:rsidRPr="009C54AE" w:rsidR="00015B8F" w:rsidTr="2A63940D" w14:paraId="6FFF5BD1" wp14:textId="77777777">
        <w:trPr>
          <w:trHeight w:val="432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C63AC1" w14:paraId="2906B3E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02EB378F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6A05A80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C63AC1" w14:paraId="4BFDD700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5A39BBE3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41C8F39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72A3D3EC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0D0B940D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015B8F" w14:paraId="0E27B00A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30631" w:rsidRDefault="00C63AC1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923D7D" w:rsidP="009C54AE" w:rsidRDefault="00923D7D" w14:paraId="60061E4C" wp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="00930631" w:rsidP="00F83B28" w:rsidRDefault="00930631" w14:paraId="29D6B04F" wp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</w:p>
    <w:p xmlns:wp14="http://schemas.microsoft.com/office/word/2010/wordml" w:rsidRPr="009C54AE" w:rsidR="0085747A" w:rsidP="00F83B28" w:rsidRDefault="00930631" w14:paraId="7B021301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C94889">
        <w:rPr>
          <w:rFonts w:hint="eastAsia" w:ascii="MS Gothic" w:hAnsi="MS Gothic" w:eastAsia="MS Gothic" w:cs="MS Gothic"/>
          <w:b w:val="0"/>
          <w:szCs w:val="24"/>
        </w:rPr>
        <w:t>X</w:t>
      </w:r>
      <w:r w:rsidR="00E6491E"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xmlns:wp14="http://schemas.microsoft.com/office/word/2010/wordml" w:rsidRPr="00C94889" w:rsidR="0085747A" w:rsidP="00F83B28" w:rsidRDefault="009932C6" w14:paraId="6192C8A2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hint="eastAsia" w:ascii="MS Gothic" w:hAnsi="MS Gothic" w:eastAsia="MS Gothic" w:cs="MS Gothic"/>
          <w:b w:val="0"/>
          <w:szCs w:val="24"/>
        </w:rPr>
        <w:t xml:space="preserve"> </w:t>
      </w:r>
      <w:r w:rsidRPr="00F45CA5">
        <w:rPr>
          <w:rFonts w:hint="eastAsia" w:ascii="MS Gothic" w:hAnsi="MS Gothic" w:eastAsia="MS Gothic" w:cs="MS Gothic"/>
          <w:szCs w:val="24"/>
        </w:rPr>
        <w:t>x</w:t>
      </w:r>
      <w:r w:rsidRPr="00C94889">
        <w:rPr>
          <w:rFonts w:ascii="Corbel" w:hAnsi="Corbel"/>
          <w:b w:val="0"/>
          <w:smallCaps w:val="0"/>
          <w:szCs w:val="24"/>
        </w:rPr>
        <w:t xml:space="preserve"> </w:t>
      </w:r>
      <w:r w:rsidRPr="00C94889" w:rsidR="0085747A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="00930631" w:rsidP="00F83B28" w:rsidRDefault="00E22FBC" w14:paraId="34CBB864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73CC8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930631" w:rsidP="00F83B28" w:rsidRDefault="00930631" w14:paraId="4B94D5A5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</w:p>
    <w:p xmlns:wp14="http://schemas.microsoft.com/office/word/2010/wordml" w:rsidRPr="00930631" w:rsidR="009C54AE" w:rsidP="00930631" w:rsidRDefault="00A73CC8" w14:paraId="078AA4B1" wp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00C94889">
        <w:rPr>
          <w:rFonts w:ascii="Corbel" w:hAnsi="Corbel"/>
          <w:b w:val="0"/>
        </w:rPr>
        <w:t>ZALICZENIE Z OCENĄ</w:t>
      </w:r>
    </w:p>
    <w:p xmlns:wp14="http://schemas.microsoft.com/office/word/2010/wordml" w:rsidR="00E960BB" w:rsidP="009C54AE" w:rsidRDefault="00E960BB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xmlns:wp14="http://schemas.microsoft.com/office/word/2010/wordml" w:rsidRPr="009C54AE" w:rsidR="00930631" w:rsidP="009C54AE" w:rsidRDefault="00930631" w14:paraId="3656B9AB" wp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745302" w14:paraId="4F2C0306" wp14:textId="77777777">
        <w:tc>
          <w:tcPr>
            <w:tcW w:w="9670" w:type="dxa"/>
          </w:tcPr>
          <w:p w:rsidRPr="009C54AE" w:rsidR="00A73CC8" w:rsidP="00A73CC8" w:rsidRDefault="00A73CC8" w14:paraId="31C83A6D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„Historia” na poziomie szkoły ponadpodstawowej.</w:t>
            </w:r>
          </w:p>
          <w:p w:rsidRPr="009C54AE" w:rsidR="0085747A" w:rsidP="009C54AE" w:rsidRDefault="00A73CC8" w14:paraId="25B1D05F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„Wiedza o społeczeństwie” na poziomie szkoły ponadpodstawowej.</w:t>
            </w:r>
          </w:p>
        </w:tc>
      </w:tr>
    </w:tbl>
    <w:p xmlns:wp14="http://schemas.microsoft.com/office/word/2010/wordml" w:rsidR="00930631" w:rsidP="009C54AE" w:rsidRDefault="00930631" w14:paraId="45FB0818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09C54AE" w:rsidRDefault="00930631" wp14:textId="77777777" w14:paraId="334BFE8B">
      <w:pPr>
        <w:pStyle w:val="Punktygwne"/>
        <w:spacing w:before="0" w:after="0"/>
      </w:pPr>
      <w:r>
        <w:rPr>
          <w:rFonts w:ascii="Corbel" w:hAnsi="Corbel"/>
          <w:szCs w:val="24"/>
        </w:rPr>
        <w:br w:type="column"/>
      </w:r>
    </w:p>
    <w:p xmlns:wp14="http://schemas.microsoft.com/office/word/2010/wordml" w:rsidRPr="00C05F44" w:rsidR="0085747A" w:rsidP="2A63940D" w:rsidRDefault="00930631" w14:paraId="2D1DE664" wp14:textId="34A35210">
      <w:pPr>
        <w:pStyle w:val="Punktygwne"/>
        <w:spacing w:before="0" w:after="0"/>
        <w:rPr>
          <w:rFonts w:ascii="Corbel" w:hAnsi="Corbel"/>
        </w:rPr>
      </w:pPr>
    </w:p>
    <w:p xmlns:wp14="http://schemas.microsoft.com/office/word/2010/wordml" w:rsidRPr="00C05F44" w:rsidR="0085747A" w:rsidP="2A63940D" w:rsidRDefault="00930631" w14:paraId="7DB6D4EE" wp14:textId="12D0DB44">
      <w:pPr>
        <w:pStyle w:val="Punktygwne"/>
        <w:spacing w:before="0" w:after="0"/>
        <w:rPr>
          <w:rFonts w:ascii="Corbel" w:hAnsi="Corbel"/>
        </w:rPr>
      </w:pPr>
      <w:r w:rsidRPr="2A63940D" w:rsidR="0071620A">
        <w:rPr>
          <w:rFonts w:ascii="Corbel" w:hAnsi="Corbel"/>
        </w:rPr>
        <w:t>3.</w:t>
      </w:r>
      <w:r w:rsidRPr="2A63940D" w:rsidR="0085747A">
        <w:rPr>
          <w:rFonts w:ascii="Corbel" w:hAnsi="Corbel"/>
        </w:rPr>
        <w:t xml:space="preserve"> </w:t>
      </w:r>
      <w:r w:rsidRPr="2A63940D" w:rsidR="00A84C85">
        <w:rPr>
          <w:rFonts w:ascii="Corbel" w:hAnsi="Corbel"/>
        </w:rPr>
        <w:t xml:space="preserve">cele, efekty uczenia </w:t>
      </w:r>
      <w:r w:rsidRPr="2A63940D" w:rsidR="00A84C85">
        <w:rPr>
          <w:rFonts w:ascii="Corbel" w:hAnsi="Corbel"/>
        </w:rPr>
        <w:t>się</w:t>
      </w:r>
      <w:r w:rsidRPr="2A63940D" w:rsidR="0085747A">
        <w:rPr>
          <w:rFonts w:ascii="Corbel" w:hAnsi="Corbel"/>
        </w:rPr>
        <w:t xml:space="preserve">,</w:t>
      </w:r>
      <w:r w:rsidRPr="2A63940D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049F31CB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53128261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xmlns:wp14="http://schemas.microsoft.com/office/word/2010/wordml" w:rsidRPr="009C54AE" w:rsidR="004876FC" w:rsidTr="0007253E" w14:paraId="4162F126" wp14:textId="77777777">
        <w:tc>
          <w:tcPr>
            <w:tcW w:w="851" w:type="dxa"/>
            <w:vAlign w:val="center"/>
          </w:tcPr>
          <w:p w:rsidRPr="009C54AE" w:rsidR="004876FC" w:rsidP="0007253E" w:rsidRDefault="004876FC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4876FC" w:rsidP="00C94889" w:rsidRDefault="00C94889" w14:paraId="5828DA9D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wiedzy o tym czym jest antropologia kultu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>rowa, czym się zajmuje, czym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wyróżnia</w:t>
            </w:r>
            <w:r w:rsidR="00BA6F65">
              <w:rPr>
                <w:rFonts w:ascii="Corbel" w:hAnsi="Corbel"/>
                <w:b w:val="0"/>
                <w:sz w:val="24"/>
                <w:szCs w:val="24"/>
              </w:rPr>
              <w:t xml:space="preserve"> się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na tle innych dyscyplin humanistycznych i społecznych.</w:t>
            </w:r>
          </w:p>
        </w:tc>
      </w:tr>
      <w:tr xmlns:wp14="http://schemas.microsoft.com/office/word/2010/wordml" w:rsidRPr="009C54AE" w:rsidR="004876FC" w:rsidTr="0007253E" w14:paraId="2DD9AEA5" wp14:textId="77777777">
        <w:tc>
          <w:tcPr>
            <w:tcW w:w="851" w:type="dxa"/>
            <w:vAlign w:val="center"/>
          </w:tcPr>
          <w:p w:rsidRPr="009C54AE" w:rsidR="004876FC" w:rsidP="0007253E" w:rsidRDefault="004876FC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4876FC" w:rsidP="0007253E" w:rsidRDefault="00C94889" w14:paraId="67DD1BDF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wyobrażenia 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>o zróżnicowaniu kulturowym świata.</w:t>
            </w:r>
          </w:p>
        </w:tc>
      </w:tr>
      <w:tr xmlns:wp14="http://schemas.microsoft.com/office/word/2010/wordml" w:rsidRPr="009C54AE" w:rsidR="004876FC" w:rsidTr="0007253E" w14:paraId="0F87E7A3" wp14:textId="77777777">
        <w:tc>
          <w:tcPr>
            <w:tcW w:w="851" w:type="dxa"/>
            <w:vAlign w:val="center"/>
          </w:tcPr>
          <w:p w:rsidRPr="009C54AE" w:rsidR="004876FC" w:rsidP="0007253E" w:rsidRDefault="004876FC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4876FC" w:rsidP="0007253E" w:rsidRDefault="00C94889" w14:paraId="22B1A3ED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</w:t>
            </w:r>
            <w:r w:rsidR="004876FC">
              <w:rPr>
                <w:rFonts w:ascii="Corbel" w:hAnsi="Corbel"/>
                <w:b w:val="0"/>
                <w:sz w:val="24"/>
                <w:szCs w:val="24"/>
              </w:rPr>
              <w:t xml:space="preserve"> wiedzy o dziejach dyscypliny i historycznym rozwoju jej koncepcji.</w:t>
            </w:r>
          </w:p>
        </w:tc>
      </w:tr>
      <w:tr xmlns:wp14="http://schemas.microsoft.com/office/word/2010/wordml" w:rsidRPr="009C54AE" w:rsidR="004876FC" w:rsidTr="0007253E" w14:paraId="1FABDE45" wp14:textId="77777777">
        <w:tc>
          <w:tcPr>
            <w:tcW w:w="851" w:type="dxa"/>
            <w:vAlign w:val="center"/>
          </w:tcPr>
          <w:p w:rsidRPr="009C54AE" w:rsidR="004876FC" w:rsidP="0007253E" w:rsidRDefault="004876FC" w14:paraId="7C12F916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4876FC" w:rsidP="00C94889" w:rsidRDefault="004876FC" w14:paraId="1D7413F9" wp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 najnowszy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ide</w:t>
            </w:r>
            <w:r w:rsidR="00C94889">
              <w:rPr>
                <w:rFonts w:ascii="Corbel" w:hAnsi="Corbel"/>
                <w:b w:val="0"/>
                <w:sz w:val="24"/>
                <w:szCs w:val="24"/>
              </w:rPr>
              <w:t>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antropologii kulturowej.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4101652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xmlns:wp14="http://schemas.microsoft.com/office/word/2010/wordml" w:rsidRPr="009C54AE" w:rsidR="00BA6F65" w:rsidTr="0007253E" w14:paraId="61F38664" wp14:textId="77777777">
        <w:tc>
          <w:tcPr>
            <w:tcW w:w="1701" w:type="dxa"/>
            <w:vAlign w:val="center"/>
          </w:tcPr>
          <w:p w:rsidRPr="009C54AE" w:rsidR="00BA6F65" w:rsidP="0007253E" w:rsidRDefault="00BA6F65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BA6F65" w:rsidP="0007253E" w:rsidRDefault="00BA6F65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BA6F65" w:rsidP="0007253E" w:rsidRDefault="00BA6F65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BA6F65" w:rsidTr="0007253E" w14:paraId="78858DF6" wp14:textId="77777777">
        <w:tc>
          <w:tcPr>
            <w:tcW w:w="1701" w:type="dxa"/>
          </w:tcPr>
          <w:p w:rsidRPr="009C54AE" w:rsidR="00BA6F65" w:rsidP="0007253E" w:rsidRDefault="00BA6F65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BA6F65" w:rsidP="00C94889" w:rsidRDefault="00BA6F65" w14:paraId="42E6C4C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przedmiot badań antropologii kulturowej, terminologię, metody badań, istotne nurty i specyfikę dyscypliny na tle innych nauk społecznych i humanistycznych.</w:t>
            </w:r>
          </w:p>
        </w:tc>
        <w:tc>
          <w:tcPr>
            <w:tcW w:w="1873" w:type="dxa"/>
          </w:tcPr>
          <w:p w:rsidR="00C94889" w:rsidP="00C94889" w:rsidRDefault="00BA6F65" w14:paraId="4460E9C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KW_06,</w:t>
            </w:r>
          </w:p>
          <w:p w:rsidR="00C94889" w:rsidP="00C94889" w:rsidRDefault="00BA6F65" w14:paraId="6886B61B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KW_08,</w:t>
            </w:r>
          </w:p>
          <w:p w:rsidRPr="009C54AE" w:rsidR="00BA6F65" w:rsidP="00C94889" w:rsidRDefault="00BA6F65" w14:paraId="07B1A4F0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xmlns:wp14="http://schemas.microsoft.com/office/word/2010/wordml" w:rsidRPr="009C54AE" w:rsidR="00BA6F65" w:rsidTr="0007253E" w14:paraId="0664AF67" wp14:textId="77777777">
        <w:tc>
          <w:tcPr>
            <w:tcW w:w="1701" w:type="dxa"/>
          </w:tcPr>
          <w:p w:rsidRPr="009C54AE" w:rsidR="00BA6F65" w:rsidP="0007253E" w:rsidRDefault="00BA6F65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BA6F65" w:rsidP="00C94889" w:rsidRDefault="00BA6F65" w14:paraId="07CA4F7B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C94889">
              <w:rPr>
                <w:rFonts w:ascii="Corbel" w:hAnsi="Corbel"/>
                <w:b w:val="0"/>
                <w:smallCaps w:val="0"/>
                <w:szCs w:val="24"/>
              </w:rPr>
              <w:t>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człowieka jako twórcy i użytkownika kultury oraz rolę kultury jako determinanty życia społecznego</w:t>
            </w:r>
          </w:p>
        </w:tc>
        <w:tc>
          <w:tcPr>
            <w:tcW w:w="1873" w:type="dxa"/>
          </w:tcPr>
          <w:p w:rsidRPr="009C54AE" w:rsidR="00BA6F65" w:rsidP="00C94889" w:rsidRDefault="00BA6F65" w14:paraId="5CED057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KW_06</w:t>
            </w:r>
          </w:p>
        </w:tc>
      </w:tr>
      <w:tr xmlns:wp14="http://schemas.microsoft.com/office/word/2010/wordml" w:rsidRPr="009C54AE" w:rsidR="00BA6F65" w:rsidTr="0007253E" w14:paraId="37FCA85E" wp14:textId="77777777">
        <w:tc>
          <w:tcPr>
            <w:tcW w:w="1701" w:type="dxa"/>
          </w:tcPr>
          <w:p w:rsidRPr="009C54AE" w:rsidR="00BA6F65" w:rsidP="0007253E" w:rsidRDefault="00BA6F65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9C54AE" w:rsidR="00BA6F65" w:rsidP="00C94889" w:rsidRDefault="00BA6F65" w14:paraId="0A667A5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elementy struktury społecznej społeczności tradycyjnych i ich odmiany</w:t>
            </w:r>
          </w:p>
        </w:tc>
        <w:tc>
          <w:tcPr>
            <w:tcW w:w="1873" w:type="dxa"/>
          </w:tcPr>
          <w:p w:rsidRPr="009C54AE" w:rsidR="00BA6F65" w:rsidP="00C94889" w:rsidRDefault="00BA6F65" w14:paraId="024B4C2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xmlns:wp14="http://schemas.microsoft.com/office/word/2010/wordml" w:rsidRPr="009C54AE" w:rsidR="00BA6F65" w:rsidTr="0007253E" w14:paraId="66D897FD" wp14:textId="77777777">
        <w:tc>
          <w:tcPr>
            <w:tcW w:w="1701" w:type="dxa"/>
          </w:tcPr>
          <w:p w:rsidRPr="009C54AE" w:rsidR="00BA6F65" w:rsidP="0007253E" w:rsidRDefault="00BA6F65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A6F65" w:rsidP="00C94889" w:rsidRDefault="00BA6F65" w14:paraId="23578EBF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zmiany zachodzące w kulturze w różnych okresach dziejów ludzkości.</w:t>
            </w:r>
          </w:p>
        </w:tc>
        <w:tc>
          <w:tcPr>
            <w:tcW w:w="1873" w:type="dxa"/>
          </w:tcPr>
          <w:p w:rsidR="00BA6F65" w:rsidP="00C94889" w:rsidRDefault="00BA6F65" w14:paraId="7299825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</w:tbl>
    <w:p xmlns:wp14="http://schemas.microsoft.com/office/word/2010/wordml" w:rsidRPr="009C54AE" w:rsidR="0085747A" w:rsidP="009C54AE" w:rsidRDefault="0085747A" w14:paraId="4B99056E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ListParagraph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1299C43A" wp14:textId="77777777">
      <w:pPr>
        <w:pStyle w:val="ListParagraph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6A09E912" wp14:textId="77777777">
        <w:tc>
          <w:tcPr>
            <w:tcW w:w="9639" w:type="dxa"/>
          </w:tcPr>
          <w:p w:rsidRPr="009C54AE" w:rsidR="0085747A" w:rsidP="009C54AE" w:rsidRDefault="00EF1CA9" w14:paraId="33E67AC6" wp14:textId="77777777">
            <w:pPr>
              <w:pStyle w:val="ListParagraph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4DDBEF00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  <w:r w:rsidR="00DD1E94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3461D779" wp14:textId="77777777">
      <w:pPr>
        <w:pStyle w:val="ListParagraph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DD1E94" w:rsidTr="0007253E" w14:paraId="55225495" wp14:textId="77777777">
        <w:tc>
          <w:tcPr>
            <w:tcW w:w="9639" w:type="dxa"/>
          </w:tcPr>
          <w:p w:rsidRPr="009C54AE" w:rsidR="00DD1E94" w:rsidP="0007253E" w:rsidRDefault="00DD1E94" w14:paraId="5D69D229" wp14:textId="77777777">
            <w:pPr>
              <w:pStyle w:val="ListParagraph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DD1E94" w:rsidTr="0007253E" w14:paraId="73B1CF2B" wp14:textId="77777777">
        <w:tc>
          <w:tcPr>
            <w:tcW w:w="9639" w:type="dxa"/>
          </w:tcPr>
          <w:p w:rsidRPr="00D20B1D" w:rsidR="00DD1E94" w:rsidP="00C94889" w:rsidRDefault="007A42D1" w14:paraId="739065F3" wp14:textId="77777777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D20B1D">
              <w:rPr>
                <w:rFonts w:ascii="Corbel" w:hAnsi="Corbel" w:cs="Tahoma"/>
                <w:sz w:val="24"/>
                <w:szCs w:val="24"/>
              </w:rPr>
              <w:t>Antropologia kulturowa, etnologia, etnografia – terminologia związana z dyscypliną; relacje z dyscyplinami pokrewnymi.</w:t>
            </w:r>
          </w:p>
        </w:tc>
      </w:tr>
      <w:tr xmlns:wp14="http://schemas.microsoft.com/office/word/2010/wordml" w:rsidRPr="009C54AE" w:rsidR="00DD1E94" w:rsidTr="0007253E" w14:paraId="72024A1E" wp14:textId="77777777">
        <w:tc>
          <w:tcPr>
            <w:tcW w:w="9639" w:type="dxa"/>
          </w:tcPr>
          <w:p w:rsidRPr="00D20B1D" w:rsidR="00DD1E94" w:rsidP="00C94889" w:rsidRDefault="000B1467" w14:paraId="1DA2CEF6" wp14:textId="77777777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D20B1D">
              <w:rPr>
                <w:rFonts w:ascii="Corbel" w:hAnsi="Corbel" w:cs="Tahoma"/>
                <w:sz w:val="24"/>
                <w:szCs w:val="24"/>
              </w:rPr>
              <w:t>Charakterystyka antropologii kulturowej / etnologii. Jej wyjątkowość, metody, zakres zainteresowań, „badanie Innego”.</w:t>
            </w:r>
          </w:p>
        </w:tc>
      </w:tr>
      <w:tr xmlns:wp14="http://schemas.microsoft.com/office/word/2010/wordml" w:rsidRPr="009C54AE" w:rsidR="00DD1E94" w:rsidTr="0007253E" w14:paraId="71058A3F" wp14:textId="77777777">
        <w:tc>
          <w:tcPr>
            <w:tcW w:w="9639" w:type="dxa"/>
          </w:tcPr>
          <w:p w:rsidRPr="00D20B1D" w:rsidR="00DD1E94" w:rsidP="00C94889" w:rsidRDefault="000B1467" w14:paraId="0852283F" wp14:textId="77777777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D20B1D">
              <w:rPr>
                <w:rFonts w:ascii="Corbel" w:hAnsi="Corbel" w:cs="Tahoma"/>
                <w:sz w:val="24"/>
                <w:szCs w:val="24"/>
              </w:rPr>
              <w:t>Źródła dyscypliny przed jej formalnym powstaniem: dawne etnografie i filozofia społeczna.</w:t>
            </w:r>
          </w:p>
        </w:tc>
      </w:tr>
      <w:tr xmlns:wp14="http://schemas.microsoft.com/office/word/2010/wordml" w:rsidRPr="009C54AE" w:rsidR="00DD1E94" w:rsidTr="0007253E" w14:paraId="2B2267B7" wp14:textId="77777777">
        <w:tc>
          <w:tcPr>
            <w:tcW w:w="9639" w:type="dxa"/>
          </w:tcPr>
          <w:p w:rsidRPr="00C94889" w:rsidR="00DD1E94" w:rsidP="00C94889" w:rsidRDefault="00DD1E94" w14:paraId="6BD2C6D0" wp14:textId="77777777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D20B1D">
              <w:rPr>
                <w:rFonts w:ascii="Corbel" w:hAnsi="Corbel" w:cs="Tahoma"/>
                <w:sz w:val="24"/>
                <w:szCs w:val="24"/>
              </w:rPr>
              <w:t>Wybrane szkoły i kierunki w ramach antropologii kulturowej, ich przedstawiciele; rozwój dyscypliny.</w:t>
            </w:r>
          </w:p>
        </w:tc>
      </w:tr>
      <w:tr xmlns:wp14="http://schemas.microsoft.com/office/word/2010/wordml" w:rsidRPr="009C54AE" w:rsidR="00DD1E94" w:rsidTr="0007253E" w14:paraId="1B03D858" wp14:textId="77777777">
        <w:tc>
          <w:tcPr>
            <w:tcW w:w="9639" w:type="dxa"/>
          </w:tcPr>
          <w:p w:rsidRPr="00D20B1D" w:rsidR="00DD1E94" w:rsidP="00C94889" w:rsidRDefault="00DD1E94" w14:paraId="6723A753" wp14:textId="77777777">
            <w:pPr>
              <w:spacing w:after="0" w:line="240" w:lineRule="auto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D20B1D">
              <w:rPr>
                <w:rFonts w:ascii="Corbel" w:hAnsi="Corbel" w:cs="Tahoma"/>
                <w:sz w:val="24"/>
                <w:szCs w:val="24"/>
              </w:rPr>
              <w:t>Badania społeczeństw pozaeuropejskich (głównie na przykładzie Amazonii).</w:t>
            </w:r>
          </w:p>
        </w:tc>
      </w:tr>
    </w:tbl>
    <w:p xmlns:wp14="http://schemas.microsoft.com/office/word/2010/wordml" w:rsidRPr="009C54AE" w:rsidR="0085747A" w:rsidP="2A63940D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2A63940D" w:rsidP="2A63940D" w:rsidRDefault="2A63940D" w14:paraId="79A06985" w14:textId="75E4EB14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w:rsidR="2A63940D" w:rsidP="2A63940D" w:rsidRDefault="2A63940D" w14:paraId="3437FF5E" w14:textId="467D3158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C94889" w:rsidR="00E960BB" w:rsidP="00C94889" w:rsidRDefault="00C94889" w14:paraId="3C54A061" wp14:textId="77777777">
      <w:pPr>
        <w:spacing w:after="0" w:line="36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konwersatoryjny, prezentacja multimedialna.</w:t>
      </w:r>
    </w:p>
    <w:p xmlns:wp14="http://schemas.microsoft.com/office/word/2010/wordml" w:rsidR="00E960BB" w:rsidP="009C54AE" w:rsidRDefault="00E960BB" w14:paraId="1FC3994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562CB0E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16"/>
        <w:gridCol w:w="5100"/>
        <w:gridCol w:w="2504"/>
      </w:tblGrid>
      <w:tr xmlns:wp14="http://schemas.microsoft.com/office/word/2010/wordml" w:rsidRPr="009C54AE" w:rsidR="00E03ED6" w:rsidTr="2A63940D" w14:paraId="3CD72C34" wp14:textId="77777777">
        <w:tc>
          <w:tcPr>
            <w:tcW w:w="1916" w:type="dxa"/>
            <w:tcMar/>
            <w:vAlign w:val="center"/>
          </w:tcPr>
          <w:p w:rsidRPr="009C54AE" w:rsidR="00E03ED6" w:rsidP="0007253E" w:rsidRDefault="00E03ED6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0" w:type="dxa"/>
            <w:tcMar/>
            <w:vAlign w:val="center"/>
          </w:tcPr>
          <w:p w:rsidRPr="009C54AE" w:rsidR="00E03ED6" w:rsidP="0007253E" w:rsidRDefault="00E03ED6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E03ED6" w:rsidP="0007253E" w:rsidRDefault="00E03ED6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04" w:type="dxa"/>
            <w:tcMar/>
            <w:vAlign w:val="center"/>
          </w:tcPr>
          <w:p w:rsidRPr="009C54AE" w:rsidR="00E03ED6" w:rsidP="0007253E" w:rsidRDefault="00E03ED6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03ED6" w:rsidP="0007253E" w:rsidRDefault="00E03ED6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xmlns:wp14="http://schemas.microsoft.com/office/word/2010/wordml" w:rsidRPr="009C54AE" w:rsidR="00E03ED6" w:rsidTr="2A63940D" w14:paraId="3F82AFB9" wp14:textId="77777777">
        <w:tc>
          <w:tcPr>
            <w:tcW w:w="1916" w:type="dxa"/>
            <w:tcMar/>
          </w:tcPr>
          <w:p w:rsidRPr="009C54AE" w:rsidR="00E03ED6" w:rsidP="0007253E" w:rsidRDefault="00E03ED6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0" w:type="dxa"/>
            <w:tcMar/>
          </w:tcPr>
          <w:p w:rsidRPr="00C94889" w:rsidR="00E03ED6" w:rsidP="00C94889" w:rsidRDefault="00E03ED6" w14:paraId="218865B1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obserwacja w trakcie zajęć, zalicze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ie ust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ne </w:t>
            </w:r>
          </w:p>
        </w:tc>
        <w:tc>
          <w:tcPr>
            <w:tcW w:w="2504" w:type="dxa"/>
            <w:tcMar/>
          </w:tcPr>
          <w:p w:rsidRPr="00C94889" w:rsidR="00E03ED6" w:rsidP="00C94889" w:rsidRDefault="00E03ED6" w14:paraId="69C0B09A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xmlns:wp14="http://schemas.microsoft.com/office/word/2010/wordml" w:rsidRPr="009C54AE" w:rsidR="00E03ED6" w:rsidTr="2A63940D" w14:paraId="7FB4562E" wp14:textId="77777777">
        <w:tc>
          <w:tcPr>
            <w:tcW w:w="1916" w:type="dxa"/>
            <w:tcMar/>
          </w:tcPr>
          <w:p w:rsidRPr="009C54AE" w:rsidR="00E03ED6" w:rsidP="0007253E" w:rsidRDefault="00E03ED6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0" w:type="dxa"/>
            <w:tcMar/>
          </w:tcPr>
          <w:p w:rsidRPr="00C94889" w:rsidR="00E03ED6" w:rsidP="00C94889" w:rsidRDefault="00E03ED6" w14:paraId="3C69F2A2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obserwacja w trakcie zajęć, zalicze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ie ust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ne </w:t>
            </w:r>
          </w:p>
        </w:tc>
        <w:tc>
          <w:tcPr>
            <w:tcW w:w="2504" w:type="dxa"/>
            <w:tcMar/>
          </w:tcPr>
          <w:p w:rsidRPr="00C94889" w:rsidR="00E03ED6" w:rsidP="00C94889" w:rsidRDefault="00E03ED6" w14:paraId="78B28D3E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xmlns:wp14="http://schemas.microsoft.com/office/word/2010/wordml" w:rsidRPr="009C54AE" w:rsidR="00E03ED6" w:rsidTr="2A63940D" w14:paraId="528217D3" wp14:textId="77777777">
        <w:tc>
          <w:tcPr>
            <w:tcW w:w="1916" w:type="dxa"/>
            <w:tcMar/>
          </w:tcPr>
          <w:p w:rsidRPr="009C54AE" w:rsidR="00E03ED6" w:rsidP="0007253E" w:rsidRDefault="00E03ED6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0" w:type="dxa"/>
            <w:tcMar/>
          </w:tcPr>
          <w:p w:rsidRPr="00C94889" w:rsidR="00E03ED6" w:rsidP="00C94889" w:rsidRDefault="00E03ED6" w14:paraId="72F5BBDF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obserwacja w trakcie zajęć, zalicze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ie ust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ne </w:t>
            </w:r>
          </w:p>
        </w:tc>
        <w:tc>
          <w:tcPr>
            <w:tcW w:w="2504" w:type="dxa"/>
            <w:tcMar/>
          </w:tcPr>
          <w:p w:rsidRPr="00C94889" w:rsidR="00E03ED6" w:rsidP="00C94889" w:rsidRDefault="00E03ED6" w14:paraId="637F2D4C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  <w:tr xmlns:wp14="http://schemas.microsoft.com/office/word/2010/wordml" w:rsidRPr="009C54AE" w:rsidR="00E03ED6" w:rsidTr="2A63940D" w14:paraId="570A7FC6" wp14:textId="77777777">
        <w:tc>
          <w:tcPr>
            <w:tcW w:w="1916" w:type="dxa"/>
            <w:tcMar/>
          </w:tcPr>
          <w:p w:rsidRPr="009C54AE" w:rsidR="00E03ED6" w:rsidP="0007253E" w:rsidRDefault="00E03ED6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0" w:type="dxa"/>
            <w:tcMar/>
          </w:tcPr>
          <w:p w:rsidRPr="00C94889" w:rsidR="00E03ED6" w:rsidP="00C94889" w:rsidRDefault="00E03ED6" w14:paraId="690ED2A8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obserwacja w trakcie zajęć, zalicze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ie ust</w:t>
            </w:r>
            <w:r w:rsidRPr="00C94889">
              <w:rPr>
                <w:rFonts w:ascii="Corbel" w:hAnsi="Corbel" w:cs="Arial"/>
                <w:sz w:val="24"/>
                <w:szCs w:val="24"/>
              </w:rPr>
              <w:t xml:space="preserve">ne </w:t>
            </w:r>
          </w:p>
        </w:tc>
        <w:tc>
          <w:tcPr>
            <w:tcW w:w="2504" w:type="dxa"/>
            <w:tcMar/>
          </w:tcPr>
          <w:p w:rsidRPr="00C94889" w:rsidR="00E03ED6" w:rsidP="00C94889" w:rsidRDefault="00E03ED6" w14:paraId="41A4A996" wp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94889">
              <w:rPr>
                <w:rFonts w:ascii="Corbel" w:hAnsi="Corbel"/>
                <w:sz w:val="24"/>
                <w:szCs w:val="24"/>
              </w:rPr>
              <w:t>KO</w:t>
            </w:r>
            <w:r w:rsidRPr="00C94889">
              <w:rPr>
                <w:rFonts w:ascii="Corbel" w:hAnsi="Corbel" w:cs="Arial"/>
                <w:sz w:val="24"/>
                <w:szCs w:val="24"/>
              </w:rPr>
              <w:t>N</w:t>
            </w:r>
            <w:r w:rsidRPr="00C94889">
              <w:rPr>
                <w:rFonts w:ascii="Corbel" w:hAnsi="Corbel"/>
                <w:sz w:val="24"/>
                <w:szCs w:val="24"/>
              </w:rPr>
              <w:t>WERSATORIUM</w:t>
            </w:r>
          </w:p>
        </w:tc>
      </w:tr>
    </w:tbl>
    <w:p xmlns:wp14="http://schemas.microsoft.com/office/word/2010/wordml" w:rsidRPr="009C54AE" w:rsidR="00923D7D" w:rsidP="009C54AE" w:rsidRDefault="00923D7D" w14:paraId="62EBF3C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D98A12B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C94889" w:rsidR="0085747A" w:rsidTr="00923D7D" w14:paraId="195F3DF6" wp14:textId="77777777">
        <w:tc>
          <w:tcPr>
            <w:tcW w:w="9670" w:type="dxa"/>
          </w:tcPr>
          <w:p w:rsidRPr="00C94889" w:rsidR="0085747A" w:rsidP="00930631" w:rsidRDefault="00D61844" w14:paraId="0BED36A4" wp14:textId="77777777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C94889">
              <w:rPr>
                <w:rFonts w:ascii="Corbel" w:hAnsi="Corbel"/>
                <w:smallCaps/>
                <w:sz w:val="24"/>
                <w:szCs w:val="24"/>
              </w:rPr>
              <w:t>OBEC</w:t>
            </w:r>
            <w:r w:rsidRPr="00C94889">
              <w:rPr>
                <w:rFonts w:ascii="Corbel" w:hAnsi="Corbel"/>
                <w:sz w:val="24"/>
                <w:szCs w:val="24"/>
              </w:rPr>
              <w:t xml:space="preserve">NOŚĆ W TRAKCIE ZAJĘĆ, ZALICZENIE USTNE </w:t>
            </w:r>
          </w:p>
        </w:tc>
      </w:tr>
    </w:tbl>
    <w:p xmlns:wp14="http://schemas.microsoft.com/office/word/2010/wordml" w:rsidRPr="009C54AE" w:rsidR="0085747A" w:rsidP="009C54AE" w:rsidRDefault="0085747A" w14:paraId="2946DB82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NoSpacing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5997CC1D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FD44F6" w:rsidTr="69C3DB01" w14:paraId="63D9DE79" wp14:textId="77777777">
        <w:tc>
          <w:tcPr>
            <w:tcW w:w="4962" w:type="dxa"/>
            <w:tcMar/>
            <w:vAlign w:val="center"/>
          </w:tcPr>
          <w:p w:rsidRPr="009C54AE" w:rsidR="00FD44F6" w:rsidP="0007253E" w:rsidRDefault="00FD44F6" w14:paraId="4C452BB7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FD44F6" w:rsidP="0007253E" w:rsidRDefault="00FD44F6" w14:paraId="4BAACCBA" wp14:textId="77777777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xmlns:wp14="http://schemas.microsoft.com/office/word/2010/wordml" w:rsidRPr="009C54AE" w:rsidR="00FD44F6" w:rsidTr="69C3DB01" w14:paraId="04A33122" wp14:textId="77777777">
        <w:tc>
          <w:tcPr>
            <w:tcW w:w="4962" w:type="dxa"/>
            <w:tcMar/>
          </w:tcPr>
          <w:p w:rsidRPr="009C54AE" w:rsidR="00FD44F6" w:rsidP="0007253E" w:rsidRDefault="00FD44F6" w14:paraId="57842AD3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FD44F6" w:rsidP="69C3DB01" w:rsidRDefault="00FD44F6" w14:paraId="557AB38E" wp14:textId="77777777" wp14:noSpellErr="1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 w:rsidR="23016000">
              <w:rPr>
                <w:rFonts w:ascii="Corbel" w:hAnsi="Corbel"/>
                <w:sz w:val="24"/>
                <w:szCs w:val="24"/>
              </w:rPr>
              <w:t>25</w:t>
            </w:r>
            <w:r w:rsidRPr="69C3DB01" w:rsidR="677894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xmlns:wp14="http://schemas.microsoft.com/office/word/2010/wordml" w:rsidRPr="009C54AE" w:rsidR="00FD44F6" w:rsidTr="69C3DB01" w14:paraId="370080A6" wp14:textId="77777777">
        <w:tc>
          <w:tcPr>
            <w:tcW w:w="4962" w:type="dxa"/>
            <w:tcMar/>
          </w:tcPr>
          <w:p w:rsidRPr="009C54AE" w:rsidR="00FD44F6" w:rsidP="0007253E" w:rsidRDefault="00FD44F6" w14:paraId="2750A6CD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D44F6" w:rsidP="0007253E" w:rsidRDefault="00FD44F6" w14:paraId="49ABEFC1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FD44F6" w:rsidP="69C3DB01" w:rsidRDefault="00FD44F6" w14:paraId="78941E47" wp14:textId="77777777" wp14:noSpellErr="1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 w:rsidR="2301600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FD44F6" w:rsidTr="69C3DB01" w14:paraId="5789C832" wp14:textId="77777777">
        <w:tc>
          <w:tcPr>
            <w:tcW w:w="4962" w:type="dxa"/>
            <w:tcMar/>
          </w:tcPr>
          <w:p w:rsidRPr="009C54AE" w:rsidR="00FD44F6" w:rsidP="0007253E" w:rsidRDefault="00FD44F6" w14:paraId="7660431A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D44F6" w:rsidP="0007253E" w:rsidRDefault="00FD44F6" w14:paraId="1937B812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FD44F6" w:rsidP="69C3DB01" w:rsidRDefault="00FD44F6" w14:paraId="68861898" wp14:textId="77777777" wp14:noSpellErr="1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 w:rsidR="2301600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xmlns:wp14="http://schemas.microsoft.com/office/word/2010/wordml" w:rsidRPr="009C54AE" w:rsidR="00FD44F6" w:rsidTr="69C3DB01" w14:paraId="03639AFE" wp14:textId="77777777">
        <w:tc>
          <w:tcPr>
            <w:tcW w:w="4962" w:type="dxa"/>
            <w:tcMar/>
          </w:tcPr>
          <w:p w:rsidRPr="009C54AE" w:rsidR="00FD44F6" w:rsidP="0007253E" w:rsidRDefault="00FD44F6" w14:paraId="3D4B2727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FD44F6" w:rsidP="69C3DB01" w:rsidRDefault="00FD44F6" w14:paraId="0F8EA849" wp14:textId="77777777" wp14:noSpellErr="1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 w:rsidR="2301600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xmlns:wp14="http://schemas.microsoft.com/office/word/2010/wordml" w:rsidRPr="009C54AE" w:rsidR="00FD44F6" w:rsidTr="69C3DB01" w14:paraId="42922784" wp14:textId="77777777">
        <w:tc>
          <w:tcPr>
            <w:tcW w:w="4962" w:type="dxa"/>
            <w:tcMar/>
          </w:tcPr>
          <w:p w:rsidRPr="009C54AE" w:rsidR="00FD44F6" w:rsidP="0007253E" w:rsidRDefault="00FD44F6" w14:paraId="5FD1C35E" wp14:textId="77777777">
            <w:pPr>
              <w:pStyle w:val="ListParagraph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FD44F6" w:rsidP="69C3DB01" w:rsidRDefault="00FD44F6" w14:paraId="0B778152" wp14:textId="77777777" wp14:noSpellErr="1">
            <w:pPr>
              <w:pStyle w:val="ListParagraph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9C3DB01" w:rsidR="230160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110FFD37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6B699379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0930631" w14:paraId="5454FE01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C94889" w14:paraId="1BBD13F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0930631" w14:paraId="5BCC8499" wp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A913DA" w14:paraId="0BE1480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3FE9F23F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930631" wp14:textId="77777777" w14:paraId="7E53FA3C">
      <w:pPr>
        <w:pStyle w:val="Punktygwne"/>
        <w:spacing w:before="0" w:after="0"/>
      </w:pPr>
      <w:r>
        <w:rPr>
          <w:rFonts w:ascii="Corbel" w:hAnsi="Corbel"/>
          <w:smallCaps w:val="0"/>
          <w:szCs w:val="24"/>
        </w:rPr>
        <w:br w:type="column"/>
      </w:r>
    </w:p>
    <w:p xmlns:wp14="http://schemas.microsoft.com/office/word/2010/wordml" w:rsidRPr="009C54AE" w:rsidR="0085747A" w:rsidP="2A63940D" w:rsidRDefault="00930631" w14:paraId="78A243DC" wp14:textId="494E8A26">
      <w:pPr>
        <w:spacing w:before="0" w:after="0"/>
      </w:pPr>
      <w:r>
        <w:br w:type="page"/>
      </w:r>
    </w:p>
    <w:p xmlns:wp14="http://schemas.microsoft.com/office/word/2010/wordml" w:rsidRPr="009C54AE" w:rsidR="0085747A" w:rsidP="2A63940D" w:rsidRDefault="00930631" w14:paraId="7630DC2B" wp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2A63940D" w:rsidR="00675843">
        <w:rPr>
          <w:rFonts w:ascii="Corbel" w:hAnsi="Corbel"/>
          <w:caps w:val="0"/>
          <w:smallCaps w:val="0"/>
        </w:rPr>
        <w:t xml:space="preserve">7. </w:t>
      </w:r>
      <w:r w:rsidRPr="2A63940D" w:rsidR="0085747A">
        <w:rPr>
          <w:rFonts w:ascii="Corbel" w:hAnsi="Corbel"/>
          <w:caps w:val="0"/>
          <w:smallCaps w:val="0"/>
        </w:rPr>
        <w:t>LITERATURA</w:t>
      </w:r>
      <w:r w:rsidRPr="2A63940D" w:rsidR="00675843">
        <w:rPr>
          <w:rFonts w:ascii="Corbel" w:hAnsi="Corbel"/>
          <w:caps w:val="0"/>
          <w:smallCaps w:val="0"/>
        </w:rPr>
        <w:t xml:space="preserve"> </w:t>
      </w:r>
    </w:p>
    <w:p xmlns:wp14="http://schemas.microsoft.com/office/word/2010/wordml" w:rsidRPr="009C54AE" w:rsidR="00675843" w:rsidP="009C54AE" w:rsidRDefault="00675843" w14:paraId="1F72F646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85747A" w:rsidTr="00930631" w14:paraId="5357F43A" wp14:textId="77777777">
        <w:trPr>
          <w:trHeight w:val="397"/>
        </w:trPr>
        <w:tc>
          <w:tcPr>
            <w:tcW w:w="7513" w:type="dxa"/>
          </w:tcPr>
          <w:p w:rsidRPr="00930631" w:rsidR="0085747A" w:rsidP="00C94889" w:rsidRDefault="0085747A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27C79" w:rsidP="00C94889" w:rsidRDefault="00627C79" w14:paraId="08CE6F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94889" w:rsidP="00C94889" w:rsidRDefault="00627C79" w14:paraId="1B0F8B57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proofErr w:type="spellStart"/>
            <w:r w:rsidRPr="00F65D1E">
              <w:rPr>
                <w:rFonts w:ascii="Corbel" w:hAnsi="Corbel" w:cs="Tahoma"/>
                <w:sz w:val="24"/>
                <w:szCs w:val="24"/>
              </w:rPr>
              <w:t>Deliège</w:t>
            </w:r>
            <w:proofErr w:type="spellEnd"/>
            <w:r w:rsidRPr="00F65D1E">
              <w:rPr>
                <w:rFonts w:ascii="Corbel" w:hAnsi="Corbel" w:cs="Tahoma"/>
                <w:sz w:val="24"/>
                <w:szCs w:val="24"/>
              </w:rPr>
              <w:t xml:space="preserve"> R. (2011) </w:t>
            </w:r>
            <w:r w:rsidRPr="00F65D1E">
              <w:rPr>
                <w:rFonts w:ascii="Corbel" w:hAnsi="Corbel" w:cs="Tahoma"/>
                <w:i/>
                <w:sz w:val="24"/>
                <w:szCs w:val="24"/>
              </w:rPr>
              <w:t>Historia a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ntropologii. Szkoły, autorzy, teorie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. Warszawa: Oficyna Naukowa</w:t>
            </w:r>
          </w:p>
          <w:p w:rsidR="00C94889" w:rsidP="00C94889" w:rsidRDefault="00627C79" w14:paraId="45FB5A56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Descola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 P. (2006) Powinowactwo z wyboru. Sojusze małżeńskie, wojna i drapieżność wśród Indian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Jívaro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. W: T.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Buliński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, M. Kairski (red.) 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Sny, trofea, geny i zmarli. Wojna w społecznościach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przedpaństwowych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na przykładzie Amazonii – przegląd koncepcji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antroplogicznych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(s. 273-302). Poznań: Wydawnictwo Naukowe Uniwersytetu im. Adama Mickiewicza </w:t>
            </w:r>
          </w:p>
          <w:p w:rsidR="00C94889" w:rsidP="00C94889" w:rsidRDefault="00627C79" w14:paraId="2458C57C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</w:rPr>
            </w:pP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Rogalski F. (2013) Wprowadzenie do polskiego przekładu pracy „Immanencja wroga” Eduardo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Viveirosa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 de Castro. W: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Indigena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. Przeszłość i współczesność tubylczych kultur amerykańskich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,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3, 5-9</w:t>
            </w:r>
          </w:p>
          <w:p w:rsidR="00C94889" w:rsidP="00C94889" w:rsidRDefault="00627C79" w14:paraId="0DE4D5E2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r w:rsidRPr="00F65D1E">
              <w:rPr>
                <w:rFonts w:ascii="Corbel" w:hAnsi="Corbel" w:cs="Tahoma"/>
                <w:sz w:val="24"/>
                <w:szCs w:val="24"/>
              </w:rPr>
              <w:t>Świerk K. (2013) Perspektywizm, miłość i cykady. Uczucia, tra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nsformacje i etos w opowieści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Jerinti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 z folkloru Indian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Matsigenka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. W: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Indigena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. Przeszłość i współczesność tubylczych kultur amerykańskich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,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3, 26-51 </w:t>
            </w:r>
          </w:p>
          <w:p w:rsidR="00A95E6F" w:rsidP="00A95E6F" w:rsidRDefault="00627C79" w14:paraId="4E7227E8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proofErr w:type="spellStart"/>
            <w:r w:rsidRPr="00F65D1E">
              <w:rPr>
                <w:rFonts w:ascii="Corbel" w:hAnsi="Corbel" w:cs="Tahoma"/>
                <w:sz w:val="24"/>
                <w:szCs w:val="24"/>
              </w:rPr>
              <w:t>Viveiros</w:t>
            </w:r>
            <w:proofErr w:type="spellEnd"/>
            <w:r w:rsidRPr="00F65D1E">
              <w:rPr>
                <w:rFonts w:ascii="Corbel" w:hAnsi="Corbel" w:cs="Tahoma"/>
                <w:sz w:val="24"/>
                <w:szCs w:val="24"/>
              </w:rPr>
              <w:t xml:space="preserve"> de Castro E. (2013) Imma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nencja wroga. W: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Indigena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. Przeszłość i współczesność tubylczych kultur amerykańskich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, 3, 10-25 </w:t>
            </w:r>
          </w:p>
          <w:p w:rsidRPr="00F65D1E" w:rsidR="00627C79" w:rsidP="00A95E6F" w:rsidRDefault="00627C79" w14:paraId="7E88B556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F65D1E">
              <w:rPr>
                <w:rFonts w:ascii="Corbel" w:hAnsi="Corbel" w:cs="Tahoma"/>
                <w:sz w:val="24"/>
                <w:szCs w:val="24"/>
              </w:rPr>
              <w:t>Viveiros</w:t>
            </w:r>
            <w:proofErr w:type="spellEnd"/>
            <w:r w:rsidRPr="00F65D1E">
              <w:rPr>
                <w:rFonts w:ascii="Corbel" w:hAnsi="Corbel" w:cs="Tahoma"/>
                <w:sz w:val="24"/>
                <w:szCs w:val="24"/>
              </w:rPr>
              <w:t xml:space="preserve"> de Castro E. (2017) Kosmologiczna </w:t>
            </w:r>
            <w:proofErr w:type="spellStart"/>
            <w:r w:rsidRPr="00F65D1E">
              <w:rPr>
                <w:rFonts w:ascii="Corbel" w:hAnsi="Corbel" w:cs="Tahoma"/>
                <w:sz w:val="24"/>
                <w:szCs w:val="24"/>
              </w:rPr>
              <w:t>deixis</w:t>
            </w:r>
            <w:proofErr w:type="spellEnd"/>
            <w:r w:rsidRPr="00F65D1E">
              <w:rPr>
                <w:rFonts w:ascii="Corbel" w:hAnsi="Corbel" w:cs="Tahoma"/>
                <w:sz w:val="24"/>
                <w:szCs w:val="24"/>
              </w:rPr>
              <w:t xml:space="preserve"> oraz perspektywizm indiański. W: </w:t>
            </w:r>
            <w:r w:rsidRPr="00F65D1E">
              <w:rPr>
                <w:rFonts w:ascii="Corbel" w:hAnsi="Corbel" w:cs="Tahoma"/>
                <w:i/>
                <w:sz w:val="24"/>
                <w:szCs w:val="24"/>
              </w:rPr>
              <w:t>Etnografia. Praktyki, teorie, doświadczenia</w:t>
            </w:r>
            <w:r w:rsidRPr="00F65D1E">
              <w:rPr>
                <w:rFonts w:ascii="Corbel" w:hAnsi="Corbel" w:cs="Tahoma"/>
                <w:sz w:val="24"/>
                <w:szCs w:val="24"/>
              </w:rPr>
              <w:t>, 3, 235-238</w:t>
            </w:r>
          </w:p>
          <w:p w:rsidRPr="009C54AE" w:rsidR="00627C79" w:rsidP="00C94889" w:rsidRDefault="00627C79" w14:paraId="61CDCEA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xmlns:wp14="http://schemas.microsoft.com/office/word/2010/wordml" w:rsidRPr="009C54AE" w:rsidR="0085747A" w:rsidTr="00930631" w14:paraId="4E78B1D3" wp14:textId="77777777">
        <w:trPr>
          <w:trHeight w:val="397"/>
        </w:trPr>
        <w:tc>
          <w:tcPr>
            <w:tcW w:w="7513" w:type="dxa"/>
          </w:tcPr>
          <w:p w:rsidRPr="00930631" w:rsidR="00976040" w:rsidP="009C54AE" w:rsidRDefault="0085747A" w14:paraId="218CA5F3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30631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976040" w:rsidP="009C54AE" w:rsidRDefault="00976040" w14:paraId="6BB9E2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5E6F" w:rsidP="00A95E6F" w:rsidRDefault="00976040" w14:paraId="6BB1C5EC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r w:rsidRPr="00F65D1E">
              <w:rPr>
                <w:rFonts w:ascii="Corbel" w:hAnsi="Corbel" w:cs="Tahoma"/>
                <w:sz w:val="24"/>
                <w:szCs w:val="24"/>
              </w:rPr>
              <w:t>Bar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nard A. (2016) 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Antropologia. Zarys teorii i historii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. Warszawa: Państwowy Instytut Wydawniczy</w:t>
            </w:r>
          </w:p>
          <w:p w:rsidR="00A95E6F" w:rsidP="00A95E6F" w:rsidRDefault="00976040" w14:paraId="06B0F57D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  <w:lang w:val="es-PE"/>
              </w:rPr>
            </w:pPr>
            <w:proofErr w:type="spellStart"/>
            <w:r w:rsidRPr="00E6491E">
              <w:rPr>
                <w:rFonts w:ascii="Corbel" w:hAnsi="Corbel" w:cs="Tahoma"/>
                <w:sz w:val="24"/>
                <w:szCs w:val="24"/>
                <w:lang w:val="en-US"/>
              </w:rPr>
              <w:t>Descola</w:t>
            </w:r>
            <w:proofErr w:type="spellEnd"/>
            <w:r w:rsidRPr="00E6491E">
              <w:rPr>
                <w:rFonts w:ascii="Corbel" w:hAnsi="Corbel" w:cs="Tahoma"/>
                <w:sz w:val="24"/>
                <w:szCs w:val="24"/>
                <w:lang w:val="en-US"/>
              </w:rPr>
              <w:t xml:space="preserve">, P. (1997). </w:t>
            </w:r>
            <w:r w:rsidRPr="00F65D1E">
              <w:rPr>
                <w:rFonts w:ascii="Corbel" w:hAnsi="Corbel" w:cs="Tahoma"/>
                <w:i/>
                <w:sz w:val="24"/>
                <w:szCs w:val="24"/>
                <w:lang w:val="en-US"/>
              </w:rPr>
              <w:t>The Spears of Twilight: Life and Death in the Amazon Jungle</w:t>
            </w:r>
            <w:r w:rsidRPr="00F65D1E">
              <w:rPr>
                <w:rFonts w:ascii="Corbel" w:hAnsi="Corbel" w:cs="Tahoma"/>
                <w:sz w:val="24"/>
                <w:szCs w:val="24"/>
                <w:lang w:val="en-US"/>
              </w:rPr>
              <w:t xml:space="preserve">. </w:t>
            </w:r>
            <w:r w:rsidRPr="00F65D1E">
              <w:rPr>
                <w:rFonts w:ascii="Corbel" w:hAnsi="Corbel" w:cs="Tahoma"/>
                <w:sz w:val="24"/>
                <w:szCs w:val="24"/>
                <w:lang w:val="es-PE"/>
              </w:rPr>
              <w:t>Londyn: Flamingo</w:t>
            </w:r>
          </w:p>
          <w:p w:rsidR="00A95E6F" w:rsidP="00A95E6F" w:rsidRDefault="00976040" w14:paraId="5ED71539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  <w:lang w:val="es-PE"/>
              </w:rPr>
            </w:pPr>
            <w:r w:rsidRPr="00F65D1E">
              <w:rPr>
                <w:rFonts w:ascii="Corbel" w:hAnsi="Corbel" w:cs="Tahoma"/>
                <w:sz w:val="24"/>
                <w:szCs w:val="24"/>
                <w:lang w:val="es-PE"/>
              </w:rPr>
              <w:t xml:space="preserve">Gow, P. (2010). ?Podía leer Sangama?: Sistemas gráficos, lenguaje y shamanismo entre los Piro (Perú oriental). </w:t>
            </w:r>
            <w:r w:rsidRPr="00F65D1E">
              <w:rPr>
                <w:rFonts w:ascii="Corbel" w:hAnsi="Corbel" w:cs="Tahoma"/>
                <w:i/>
                <w:sz w:val="24"/>
                <w:szCs w:val="24"/>
                <w:lang w:val="es-PE"/>
              </w:rPr>
              <w:t>Revista da FAEEBA: Educação e Contemporaneidade</w:t>
            </w:r>
            <w:r w:rsidRPr="00F65D1E">
              <w:rPr>
                <w:rFonts w:ascii="Corbel" w:hAnsi="Corbel" w:cs="Tahoma"/>
                <w:sz w:val="24"/>
                <w:szCs w:val="24"/>
                <w:lang w:val="es-PE"/>
              </w:rPr>
              <w:t>, 19(33), 105-117</w:t>
            </w:r>
          </w:p>
          <w:p w:rsidR="00A95E6F" w:rsidP="00A95E6F" w:rsidRDefault="00976040" w14:paraId="19816B3D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r w:rsidRPr="00F65D1E">
              <w:rPr>
                <w:rStyle w:val="acopre"/>
                <w:rFonts w:ascii="Corbel" w:hAnsi="Corbel" w:cs="Tahoma"/>
                <w:sz w:val="24"/>
                <w:szCs w:val="24"/>
                <w:lang w:val="es-PE"/>
              </w:rPr>
              <w:t xml:space="preserve">Lévi-Strauss C. (1964) 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  <w:lang w:val="es-PE"/>
              </w:rPr>
              <w:t>Smutek tropików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  <w:lang w:val="es-PE"/>
              </w:rPr>
              <w:t xml:space="preserve">. 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Warszawa: Państwowy Instytut Wydawniczy</w:t>
            </w:r>
          </w:p>
          <w:p w:rsidR="00A95E6F" w:rsidP="00A95E6F" w:rsidRDefault="00976040" w14:paraId="28D2F295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Malinowski B. (1984) Życie seksualne dzikich w północno-zachodniej Melanezji. Miłość, małżeństwo i życie rodzinne u krajowców z Wysp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Trobrianda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 Brytyjskiej Nowej Gwinei. W: W. Markiewicz et al. (red.) 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Dzieła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. Tom 2 (s. 97-605). Warszawa: Państwowe Wydawnictwo Naukowe</w:t>
            </w:r>
          </w:p>
          <w:p w:rsidR="00A95E6F" w:rsidP="00A95E6F" w:rsidRDefault="00976040" w14:paraId="0E02A0AB" wp14:textId="77777777">
            <w:pPr>
              <w:spacing w:after="0" w:line="240" w:lineRule="auto"/>
              <w:ind w:left="357" w:hanging="357"/>
              <w:jc w:val="both"/>
              <w:rPr>
                <w:rStyle w:val="acopre"/>
                <w:rFonts w:ascii="Corbel" w:hAnsi="Corbel" w:cs="Tahoma"/>
                <w:sz w:val="24"/>
                <w:szCs w:val="24"/>
              </w:rPr>
            </w:pP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Świerk K. (2012) Zwierzęta, rośliny i minerały w magii miłosnej Indian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Jívaro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. W: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Etnobiologia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Polska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, 2, 39-58</w:t>
            </w:r>
          </w:p>
          <w:p w:rsidRPr="00A95E6F" w:rsidR="0085747A" w:rsidP="00A95E6F" w:rsidRDefault="00976040" w14:paraId="250A9976" wp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cs="Tahoma"/>
                <w:sz w:val="24"/>
                <w:szCs w:val="24"/>
              </w:rPr>
            </w:pP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Vilaça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 A. (2006) Związki pomiędzy kanibalizmem pogrzebowym i wojennym: Problem drapieżnictwa. W: T. </w:t>
            </w:r>
            <w:proofErr w:type="spellStart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>Buliński</w:t>
            </w:r>
            <w:proofErr w:type="spellEnd"/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, M. Kairski (red.) </w:t>
            </w:r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Sny, trofea, geny i zmarli. Wojna w społecznościach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przedpaństwowych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na przykładzie Amazonii – przegląd koncepcji </w:t>
            </w:r>
            <w:proofErr w:type="spellStart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>antroplogicznych</w:t>
            </w:r>
            <w:proofErr w:type="spellEnd"/>
            <w:r w:rsidRPr="00F65D1E">
              <w:rPr>
                <w:rStyle w:val="acopre"/>
                <w:rFonts w:ascii="Corbel" w:hAnsi="Corbel" w:cs="Tahoma"/>
                <w:i/>
                <w:sz w:val="24"/>
                <w:szCs w:val="24"/>
              </w:rPr>
              <w:t xml:space="preserve"> </w:t>
            </w:r>
            <w:r w:rsidRPr="00F65D1E">
              <w:rPr>
                <w:rStyle w:val="acopre"/>
                <w:rFonts w:ascii="Corbel" w:hAnsi="Corbel" w:cs="Tahoma"/>
                <w:sz w:val="24"/>
                <w:szCs w:val="24"/>
              </w:rPr>
              <w:t xml:space="preserve">(s. 403-436). Poznań: Wydawnictwo Naukowe Uniwersytetu im. Adama Mickiewicza </w:t>
            </w:r>
          </w:p>
        </w:tc>
      </w:tr>
    </w:tbl>
    <w:p xmlns:wp14="http://schemas.microsoft.com/office/word/2010/wordml" w:rsidRPr="009C54AE" w:rsidR="0085747A" w:rsidP="009C54AE" w:rsidRDefault="0085747A" w14:paraId="23DE523C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2E56223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30631">
      <w:pgSz w:w="11906" w:h="16838" w:orient="portrait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B67170" w:rsidP="00C16ABF" w:rsidRDefault="00B67170" w14:paraId="07547A0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67170" w:rsidP="00C16ABF" w:rsidRDefault="00B67170" w14:paraId="5043CB0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B67170" w:rsidP="00C16ABF" w:rsidRDefault="00B67170" w14:paraId="0745931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67170" w:rsidP="00C16ABF" w:rsidRDefault="00B67170" w14:paraId="6537F28F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F65D1E" w:rsidP="00BA6F65" w:rsidRDefault="00F65D1E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704389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9AA"/>
    <w:rsid w:val="00022ECE"/>
    <w:rsid w:val="00042A51"/>
    <w:rsid w:val="00042D2E"/>
    <w:rsid w:val="00044C82"/>
    <w:rsid w:val="00070ED6"/>
    <w:rsid w:val="0007253E"/>
    <w:rsid w:val="000742DC"/>
    <w:rsid w:val="00084C12"/>
    <w:rsid w:val="0009462C"/>
    <w:rsid w:val="00094B12"/>
    <w:rsid w:val="00096C46"/>
    <w:rsid w:val="000A296F"/>
    <w:rsid w:val="000A2A28"/>
    <w:rsid w:val="000A3CDF"/>
    <w:rsid w:val="000B146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141D"/>
    <w:rsid w:val="002336F9"/>
    <w:rsid w:val="0024028F"/>
    <w:rsid w:val="00244ABC"/>
    <w:rsid w:val="002600AC"/>
    <w:rsid w:val="00281FF2"/>
    <w:rsid w:val="002857DE"/>
    <w:rsid w:val="00291567"/>
    <w:rsid w:val="0029575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C9C"/>
    <w:rsid w:val="003343CF"/>
    <w:rsid w:val="00346FE9"/>
    <w:rsid w:val="0034759A"/>
    <w:rsid w:val="003503F6"/>
    <w:rsid w:val="003530DD"/>
    <w:rsid w:val="00363F78"/>
    <w:rsid w:val="003757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FCB"/>
    <w:rsid w:val="004114A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AA9"/>
    <w:rsid w:val="00480501"/>
    <w:rsid w:val="004840FD"/>
    <w:rsid w:val="004876FC"/>
    <w:rsid w:val="00490F7D"/>
    <w:rsid w:val="00491678"/>
    <w:rsid w:val="004968E2"/>
    <w:rsid w:val="004A3EEA"/>
    <w:rsid w:val="004A4D1F"/>
    <w:rsid w:val="004B1F53"/>
    <w:rsid w:val="004D5282"/>
    <w:rsid w:val="004F1551"/>
    <w:rsid w:val="004F55A3"/>
    <w:rsid w:val="0050496F"/>
    <w:rsid w:val="0050604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130"/>
    <w:rsid w:val="005E6E85"/>
    <w:rsid w:val="005F31D2"/>
    <w:rsid w:val="0061029B"/>
    <w:rsid w:val="00617230"/>
    <w:rsid w:val="00621CE1"/>
    <w:rsid w:val="00627C79"/>
    <w:rsid w:val="00627FC9"/>
    <w:rsid w:val="00641B6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D9C"/>
    <w:rsid w:val="006E5D65"/>
    <w:rsid w:val="006F1282"/>
    <w:rsid w:val="006F1FBC"/>
    <w:rsid w:val="006F31E2"/>
    <w:rsid w:val="006F7E1F"/>
    <w:rsid w:val="00706544"/>
    <w:rsid w:val="007072BA"/>
    <w:rsid w:val="0071538F"/>
    <w:rsid w:val="0071620A"/>
    <w:rsid w:val="00724677"/>
    <w:rsid w:val="00725459"/>
    <w:rsid w:val="007327BD"/>
    <w:rsid w:val="00734608"/>
    <w:rsid w:val="00745302"/>
    <w:rsid w:val="007461D6"/>
    <w:rsid w:val="00746EC8"/>
    <w:rsid w:val="00752082"/>
    <w:rsid w:val="00763BF1"/>
    <w:rsid w:val="0076552A"/>
    <w:rsid w:val="00766FD4"/>
    <w:rsid w:val="0078168C"/>
    <w:rsid w:val="00787C2A"/>
    <w:rsid w:val="00790E27"/>
    <w:rsid w:val="0079717E"/>
    <w:rsid w:val="007A4022"/>
    <w:rsid w:val="007A42D1"/>
    <w:rsid w:val="007A6E6E"/>
    <w:rsid w:val="007C3299"/>
    <w:rsid w:val="007C3BCC"/>
    <w:rsid w:val="007C4546"/>
    <w:rsid w:val="007D6E56"/>
    <w:rsid w:val="007F4155"/>
    <w:rsid w:val="007F4947"/>
    <w:rsid w:val="007F6676"/>
    <w:rsid w:val="0081554D"/>
    <w:rsid w:val="00815F76"/>
    <w:rsid w:val="0081707E"/>
    <w:rsid w:val="008449B3"/>
    <w:rsid w:val="008552A2"/>
    <w:rsid w:val="0085747A"/>
    <w:rsid w:val="00884922"/>
    <w:rsid w:val="00885F64"/>
    <w:rsid w:val="008917F9"/>
    <w:rsid w:val="008A3E84"/>
    <w:rsid w:val="008A45F7"/>
    <w:rsid w:val="008C0CC0"/>
    <w:rsid w:val="008C19A9"/>
    <w:rsid w:val="008C379D"/>
    <w:rsid w:val="008C5147"/>
    <w:rsid w:val="008C5359"/>
    <w:rsid w:val="008C5363"/>
    <w:rsid w:val="008D3DFB"/>
    <w:rsid w:val="008D4A86"/>
    <w:rsid w:val="008E08F2"/>
    <w:rsid w:val="008E64F4"/>
    <w:rsid w:val="008F12C9"/>
    <w:rsid w:val="008F6E29"/>
    <w:rsid w:val="00916188"/>
    <w:rsid w:val="00923D7D"/>
    <w:rsid w:val="00930631"/>
    <w:rsid w:val="00944A8A"/>
    <w:rsid w:val="009508DF"/>
    <w:rsid w:val="00950DAC"/>
    <w:rsid w:val="00954A07"/>
    <w:rsid w:val="00975183"/>
    <w:rsid w:val="00976040"/>
    <w:rsid w:val="00986B20"/>
    <w:rsid w:val="009932C6"/>
    <w:rsid w:val="00997F14"/>
    <w:rsid w:val="009A78D9"/>
    <w:rsid w:val="009B413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CC8"/>
    <w:rsid w:val="00A84C85"/>
    <w:rsid w:val="00A913DA"/>
    <w:rsid w:val="00A95E6F"/>
    <w:rsid w:val="00A9726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70"/>
    <w:rsid w:val="00B75946"/>
    <w:rsid w:val="00B8056E"/>
    <w:rsid w:val="00B819C8"/>
    <w:rsid w:val="00B82308"/>
    <w:rsid w:val="00B90885"/>
    <w:rsid w:val="00B95542"/>
    <w:rsid w:val="00BA6F65"/>
    <w:rsid w:val="00BB520A"/>
    <w:rsid w:val="00BC00FD"/>
    <w:rsid w:val="00BD3869"/>
    <w:rsid w:val="00BD66E9"/>
    <w:rsid w:val="00BD6FF4"/>
    <w:rsid w:val="00BE0A35"/>
    <w:rsid w:val="00BE7D8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9BA"/>
    <w:rsid w:val="00C56036"/>
    <w:rsid w:val="00C61287"/>
    <w:rsid w:val="00C61DC5"/>
    <w:rsid w:val="00C63AC1"/>
    <w:rsid w:val="00C67E92"/>
    <w:rsid w:val="00C70A26"/>
    <w:rsid w:val="00C72905"/>
    <w:rsid w:val="00C766DF"/>
    <w:rsid w:val="00C94889"/>
    <w:rsid w:val="00C94B98"/>
    <w:rsid w:val="00CA2B96"/>
    <w:rsid w:val="00CA5089"/>
    <w:rsid w:val="00CA56E5"/>
    <w:rsid w:val="00CD36DC"/>
    <w:rsid w:val="00CD6897"/>
    <w:rsid w:val="00CE5BAC"/>
    <w:rsid w:val="00CF25BE"/>
    <w:rsid w:val="00CF78ED"/>
    <w:rsid w:val="00D02B25"/>
    <w:rsid w:val="00D02EBA"/>
    <w:rsid w:val="00D10B50"/>
    <w:rsid w:val="00D17C3C"/>
    <w:rsid w:val="00D20B1D"/>
    <w:rsid w:val="00D25816"/>
    <w:rsid w:val="00D26B2C"/>
    <w:rsid w:val="00D33ACD"/>
    <w:rsid w:val="00D352C9"/>
    <w:rsid w:val="00D425B2"/>
    <w:rsid w:val="00D428D6"/>
    <w:rsid w:val="00D552B2"/>
    <w:rsid w:val="00D608D1"/>
    <w:rsid w:val="00D61844"/>
    <w:rsid w:val="00D74119"/>
    <w:rsid w:val="00D8075B"/>
    <w:rsid w:val="00D8076A"/>
    <w:rsid w:val="00D8678B"/>
    <w:rsid w:val="00DA2114"/>
    <w:rsid w:val="00DD1E94"/>
    <w:rsid w:val="00DE09C0"/>
    <w:rsid w:val="00DE4A14"/>
    <w:rsid w:val="00DF320D"/>
    <w:rsid w:val="00DF71C8"/>
    <w:rsid w:val="00E03ED6"/>
    <w:rsid w:val="00E05491"/>
    <w:rsid w:val="00E129B8"/>
    <w:rsid w:val="00E1317E"/>
    <w:rsid w:val="00E21E7D"/>
    <w:rsid w:val="00E22FBC"/>
    <w:rsid w:val="00E24BF5"/>
    <w:rsid w:val="00E25338"/>
    <w:rsid w:val="00E51E44"/>
    <w:rsid w:val="00E63348"/>
    <w:rsid w:val="00E6491E"/>
    <w:rsid w:val="00E742AA"/>
    <w:rsid w:val="00E77E88"/>
    <w:rsid w:val="00E8107D"/>
    <w:rsid w:val="00E81B2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EF1CA9"/>
    <w:rsid w:val="00F070AB"/>
    <w:rsid w:val="00F17567"/>
    <w:rsid w:val="00F27A7B"/>
    <w:rsid w:val="00F45CA5"/>
    <w:rsid w:val="00F526AF"/>
    <w:rsid w:val="00F617C3"/>
    <w:rsid w:val="00F63054"/>
    <w:rsid w:val="00F65D1E"/>
    <w:rsid w:val="00F7066B"/>
    <w:rsid w:val="00F83B28"/>
    <w:rsid w:val="00F974DA"/>
    <w:rsid w:val="00FA46E5"/>
    <w:rsid w:val="00FB7DBA"/>
    <w:rsid w:val="00FC1C25"/>
    <w:rsid w:val="00FC3F45"/>
    <w:rsid w:val="00FC593E"/>
    <w:rsid w:val="00FD44F6"/>
    <w:rsid w:val="00FD503F"/>
    <w:rsid w:val="00FD7589"/>
    <w:rsid w:val="00FF016A"/>
    <w:rsid w:val="00FF1401"/>
    <w:rsid w:val="00FF5E7D"/>
    <w:rsid w:val="0BA15CAE"/>
    <w:rsid w:val="23016000"/>
    <w:rsid w:val="29D24FA6"/>
    <w:rsid w:val="2A63940D"/>
    <w:rsid w:val="2DFB70F8"/>
    <w:rsid w:val="37619D18"/>
    <w:rsid w:val="3E27C403"/>
    <w:rsid w:val="4702567A"/>
    <w:rsid w:val="4E502F1D"/>
    <w:rsid w:val="6221F482"/>
    <w:rsid w:val="639686EF"/>
    <w:rsid w:val="6472FFB2"/>
    <w:rsid w:val="67789462"/>
    <w:rsid w:val="69C3D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91469DF"/>
  <w15:chartTrackingRefBased/>
  <w15:docId w15:val="{9B742908-6016-47BA-B156-977FAF5442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ListParagraph" w:customStyle="1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NoSpacing" w:customStyle="1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copre" w:customStyle="1">
    <w:name w:val="acopre"/>
    <w:basedOn w:val="Domylnaczcionkaakapitu"/>
    <w:rsid w:val="00627C79"/>
  </w:style>
  <w:style w:type="paragraph" w:styleId="Poprawka">
    <w:name w:val="Revision"/>
    <w:hidden/>
    <w:uiPriority w:val="99"/>
    <w:semiHidden/>
    <w:rsid w:val="0029575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22</revision>
  <lastPrinted>2019-02-06T21:12:00.0000000Z</lastPrinted>
  <dcterms:created xsi:type="dcterms:W3CDTF">2023-09-05T09:50:00.0000000Z</dcterms:created>
  <dcterms:modified xsi:type="dcterms:W3CDTF">2024-07-29T08:13:59.0456806Z</dcterms:modified>
</coreProperties>
</file>